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76" w:lineRule="auto"/>
        <w:jc w:val="center"/>
        <w:rPr>
          <w:rFonts w:ascii="小标宋" w:hAnsi="小标宋" w:eastAsia="小标宋" w:cs="小标宋"/>
          <w:bCs/>
          <w:sz w:val="36"/>
          <w:szCs w:val="36"/>
        </w:rPr>
      </w:pPr>
      <w:r>
        <w:rPr>
          <w:rFonts w:hint="eastAsia" w:ascii="小标宋" w:hAnsi="小标宋" w:eastAsia="小标宋" w:cs="小标宋"/>
          <w:bCs/>
          <w:sz w:val="36"/>
          <w:szCs w:val="36"/>
        </w:rPr>
        <w:t>杭州市公共体育设施提升工程建设合格标准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Toc52926154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一、范围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本标准规定了杭州市公共体育设施提升工程的基本要求、设施建设、建设评分等内容。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本标准适用于乡镇（街道）建设体育健身中心、体育健身广场；村（社区）建设体育健身公园等。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bookmarkStart w:id="1" w:name="_Toc529261545"/>
      <w:r>
        <w:rPr>
          <w:rFonts w:hint="eastAsia" w:ascii="黑体" w:hAnsi="黑体" w:eastAsia="黑体" w:cs="黑体"/>
          <w:sz w:val="32"/>
          <w:szCs w:val="32"/>
        </w:rPr>
        <w:t>二、规范性引用文件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下列文件对于本文件的应用是必不可少的。凡是注日期的引用文件，仅所注日期的版本适用于本文件。凡是不注日期的引用文件，其最新版本（包括所有的修订单）适用于本文件。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 17498.1 固定式健身器材 第1部分：通用安全要求和试验方法。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GB19272室外健身器材的安全通用要求。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bookmarkStart w:id="2" w:name="_Toc529261546"/>
      <w:r>
        <w:rPr>
          <w:rFonts w:hint="eastAsia" w:ascii="黑体" w:hAnsi="黑体" w:eastAsia="黑体" w:cs="黑体"/>
          <w:sz w:val="32"/>
          <w:szCs w:val="32"/>
        </w:rPr>
        <w:t>三、术语和定义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bookmarkStart w:id="3" w:name="_Toc521917566"/>
      <w:bookmarkStart w:id="4" w:name="_Toc524623383"/>
      <w:bookmarkStart w:id="5" w:name="_Toc525075105"/>
      <w:bookmarkStart w:id="6" w:name="_Toc521402942"/>
      <w:bookmarkStart w:id="7" w:name="_Toc529261485"/>
      <w:bookmarkStart w:id="8" w:name="_Toc523930676"/>
      <w:bookmarkStart w:id="9" w:name="_Toc520812030"/>
      <w:bookmarkStart w:id="10" w:name="_Toc523930605"/>
      <w:bookmarkStart w:id="11" w:name="_Toc525075172"/>
      <w:bookmarkStart w:id="12" w:name="_Toc513036702"/>
      <w:bookmarkStart w:id="13" w:name="_Toc515024788"/>
      <w:bookmarkStart w:id="14" w:name="_Toc524700040"/>
      <w:bookmarkStart w:id="15" w:name="_Toc513035370"/>
      <w:bookmarkStart w:id="16" w:name="_Toc521403687"/>
      <w:bookmarkStart w:id="17" w:name="_Toc529261547"/>
      <w:r>
        <w:rPr>
          <w:rFonts w:hint="eastAsia" w:ascii="仿宋_GB2312" w:hAnsi="仿宋_GB2312" w:eastAsia="仿宋_GB2312" w:cs="仿宋_GB2312"/>
          <w:sz w:val="32"/>
          <w:szCs w:val="32"/>
        </w:rPr>
        <w:t>城乡公共体育设施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hint="eastAsia" w:ascii="仿宋_GB2312" w:hAnsi="仿宋_GB2312" w:eastAsia="仿宋_GB2312" w:cs="仿宋_GB2312"/>
          <w:sz w:val="32"/>
          <w:szCs w:val="32"/>
        </w:rPr>
        <w:t>提升工程由政府或其他社会组织提供的、属于社会公众使用或享用的体育设施，包括向公众开放的所有收费性与非收费性体育设施。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bookmarkStart w:id="18" w:name="_Toc529261548"/>
      <w:r>
        <w:rPr>
          <w:rFonts w:hint="eastAsia" w:ascii="黑体" w:hAnsi="黑体" w:eastAsia="黑体" w:cs="黑体"/>
          <w:sz w:val="32"/>
          <w:szCs w:val="32"/>
        </w:rPr>
        <w:t>四、基本要求</w:t>
      </w:r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19" w:name="_Toc529261549"/>
      <w:r>
        <w:rPr>
          <w:rFonts w:hint="eastAsia" w:ascii="楷体_GB2312" w:hAnsi="楷体_GB2312" w:eastAsia="楷体_GB2312" w:cs="楷体_GB2312"/>
          <w:sz w:val="32"/>
          <w:szCs w:val="32"/>
        </w:rPr>
        <w:t>（一）组织要求</w:t>
      </w:r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1.工程所在的县（市、区）应建有全民健身工程领导小组。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2.应列入政府为民办实事工程或本年度政府重点工作内容。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3.应有领导分管，专人负责。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4.应有工程建设的实施计划、方案、台账资料、实景照片等。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20" w:name="_Toc529261550"/>
      <w:r>
        <w:rPr>
          <w:rFonts w:hint="eastAsia" w:ascii="楷体_GB2312" w:hAnsi="楷体_GB2312" w:eastAsia="楷体_GB2312" w:cs="楷体_GB2312"/>
          <w:sz w:val="32"/>
          <w:szCs w:val="32"/>
        </w:rPr>
        <w:t>（二）管理要求</w:t>
      </w:r>
      <w:bookmarkEnd w:id="2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1.应制定体育场地设施管理规章制度。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2.应有专兼职管理人员和社会体育指导员，社会体育指导员应认真指导，严格履行职责。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3.健身器材应满足GB 17498.1和GB19272的要求，获得相关质量检测部门的认证。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21" w:name="_Toc529261551"/>
      <w:r>
        <w:rPr>
          <w:rFonts w:hint="eastAsia" w:ascii="楷体_GB2312" w:hAnsi="楷体_GB2312" w:eastAsia="楷体_GB2312" w:cs="楷体_GB2312"/>
          <w:sz w:val="32"/>
          <w:szCs w:val="32"/>
        </w:rPr>
        <w:t>（三）宣传要求</w:t>
      </w:r>
      <w:bookmarkEnd w:id="2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1.告示牌应有体彩标志和“体育彩票捐赠”字样。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2.每件器材上应印有体彩标志和“体育彩票捐赠”字样。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3.应有固定宣传窗或户外大型广告牌。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22" w:name="_Toc529261552"/>
      <w:r>
        <w:rPr>
          <w:rFonts w:hint="eastAsia" w:ascii="楷体_GB2312" w:hAnsi="楷体_GB2312" w:eastAsia="楷体_GB2312" w:cs="楷体_GB2312"/>
          <w:sz w:val="32"/>
          <w:szCs w:val="32"/>
        </w:rPr>
        <w:t>（四）活动要求</w:t>
      </w:r>
      <w:bookmarkEnd w:id="2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1.应因地制宜的开展健身活动，健身场地活动人数不少于本区域人数的41%。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2.组织开展科学健身宣传活动。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bookmarkStart w:id="23" w:name="_Toc529261553"/>
      <w:r>
        <w:rPr>
          <w:rFonts w:hint="eastAsia" w:ascii="黑体" w:hAnsi="黑体" w:eastAsia="黑体" w:cs="黑体"/>
          <w:sz w:val="32"/>
          <w:szCs w:val="32"/>
        </w:rPr>
        <w:t>五、设施建设</w:t>
      </w:r>
      <w:bookmarkEnd w:id="2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bookmarkStart w:id="24" w:name="_Toc529261554"/>
      <w:r>
        <w:rPr>
          <w:rFonts w:hint="eastAsia" w:ascii="楷体_GB2312" w:hAnsi="楷体_GB2312" w:eastAsia="楷体_GB2312" w:cs="楷体_GB2312"/>
          <w:sz w:val="32"/>
          <w:szCs w:val="32"/>
        </w:rPr>
        <w:t>（一）体育健身中心</w:t>
      </w:r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体育健身中心的建设内容、建设标准和用地面积应符合表1的规定。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表1  体育健身中心设施要求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2"/>
        <w:gridCol w:w="524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1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建设内容及建设标准</w:t>
            </w:r>
          </w:p>
        </w:tc>
        <w:tc>
          <w:tcPr>
            <w:tcW w:w="161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甲类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室内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1.标准篮球场1个，配有800座以上的固定看台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≧10000平方米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2.羽毛球场4片、乒乓球桌6张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3.多功能健身房1个、棋牌室1个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室外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1.25×25米的标准游泳池1个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2.标准门球场、网球场、五人制足球场任选其一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3.灯光篮球场2个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4.乒乓球桌8张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5.2000平方米以上的健身广场（含30件器材的健身点）、配有1个5米以上的健身知识宣传长廊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乙类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室内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1.标准篮球场1个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≧8000平方米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2.羽毛球场4片、乒乓球桌6张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3.多功能健身房1个、棋牌室1个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室外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1.标准门球场、网球场、五人制足球场任选其一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2.灯光篮球场2个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3.乒乓球桌8张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4.1500平方米以上健身广场（含20件器材的健身点）、配有1个3米以上的健身知识宣传长廊</w:t>
            </w:r>
          </w:p>
        </w:tc>
        <w:tc>
          <w:tcPr>
            <w:tcW w:w="1611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丙类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室内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1.羽毛球场2片、乒乓球桌4张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≧6000平方米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2.多功能健身房1个、棋牌室1个</w:t>
            </w:r>
          </w:p>
        </w:tc>
        <w:tc>
          <w:tcPr>
            <w:tcW w:w="1611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室外</w:t>
            </w: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1.标准门球场、五人制足球场任选其一</w:t>
            </w:r>
          </w:p>
        </w:tc>
        <w:tc>
          <w:tcPr>
            <w:tcW w:w="1611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2.灯光篮球场2个</w:t>
            </w:r>
          </w:p>
        </w:tc>
        <w:tc>
          <w:tcPr>
            <w:tcW w:w="1611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3.乒乓球桌4张</w:t>
            </w:r>
          </w:p>
        </w:tc>
        <w:tc>
          <w:tcPr>
            <w:tcW w:w="1611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243" w:type="dxa"/>
            <w:vAlign w:val="center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4.1000平方米以上健身广场（含20件器材的健身点）、配有1个健身知识宣传栏</w:t>
            </w:r>
          </w:p>
        </w:tc>
        <w:tc>
          <w:tcPr>
            <w:tcW w:w="1611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bookmarkStart w:id="25" w:name="_Toc529261555"/>
      <w:r>
        <w:rPr>
          <w:rFonts w:hint="eastAsia" w:ascii="楷体_GB2312" w:hAnsi="楷体_GB2312" w:eastAsia="楷体_GB2312" w:cs="楷体_GB2312"/>
          <w:sz w:val="32"/>
          <w:szCs w:val="32"/>
        </w:rPr>
        <w:t>（二）体育健身广场</w:t>
      </w:r>
      <w:bookmarkEnd w:id="25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体育健身广场的建设内容、建设标准和用地面积应符合表2的规定。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表2  体育健身广场设施要求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建设内容及建设标准</w:t>
            </w:r>
          </w:p>
        </w:tc>
        <w:tc>
          <w:tcPr>
            <w:tcW w:w="2602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1.标准灯光篮球场2片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pStyle w:val="6"/>
              <w:tabs>
                <w:tab w:val="right" w:pos="2386"/>
                <w:tab w:val="clear" w:pos="4201"/>
                <w:tab w:val="clear" w:pos="9298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≧5000平方米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2.标准门球场、五人制足球场任选其一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3.1000平方米以上的健身广场（含20件器材的健身点），配有1个健身知识宣传栏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4.室内外乒乓球桌6张、棋牌室1个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bookmarkStart w:id="26" w:name="_Toc529261556"/>
      <w:r>
        <w:rPr>
          <w:rFonts w:hint="eastAsia" w:ascii="楷体_GB2312" w:hAnsi="楷体_GB2312" w:eastAsia="楷体_GB2312" w:cs="楷体_GB2312"/>
          <w:sz w:val="32"/>
          <w:szCs w:val="32"/>
        </w:rPr>
        <w:t>（三）体育健身公园</w:t>
      </w:r>
      <w:bookmarkEnd w:id="26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体育健身公园的建设内容、建设标准和用地面积应符合表3的规定。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表3  体育健身公园设施要求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20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建设内容及建设标准</w:t>
            </w:r>
          </w:p>
        </w:tc>
        <w:tc>
          <w:tcPr>
            <w:tcW w:w="2602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1.标准灯光篮球场1片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pStyle w:val="6"/>
              <w:tabs>
                <w:tab w:val="right" w:pos="2386"/>
                <w:tab w:val="clear" w:pos="4201"/>
                <w:tab w:val="clear" w:pos="9298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hAnsi="宋体" w:cs="宋体"/>
                <w:color w:val="auto"/>
                <w:sz w:val="32"/>
                <w:szCs w:val="32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1400平方米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2.标准门球场、五人制足球场任选其一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3.500平方米以上的健身广场（含20件器材的健身点），配有1个健身知识宣传栏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920" w:type="dxa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4.室内外4张乒乓球桌</w:t>
            </w:r>
          </w:p>
        </w:tc>
        <w:tc>
          <w:tcPr>
            <w:tcW w:w="2602" w:type="dxa"/>
            <w:vMerge w:val="continue"/>
            <w:vAlign w:val="top"/>
          </w:tcPr>
          <w:p>
            <w:pPr>
              <w:pStyle w:val="6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27" w:name="_Toc529261557"/>
      <w:r>
        <w:rPr>
          <w:rFonts w:hint="eastAsia" w:ascii="仿宋_GB2312" w:hAnsi="仿宋_GB2312" w:eastAsia="仿宋_GB2312" w:cs="仿宋_GB2312"/>
          <w:sz w:val="32"/>
          <w:szCs w:val="32"/>
        </w:rPr>
        <w:t>注：为鼓励健身设施建设多样性、实用性，体现地方特色，大型场地可自行调整，但不得低于杭州市实施城乡公共体育设施提升工程建设标准。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（四）配套设施</w:t>
      </w:r>
      <w:bookmarkEnd w:id="27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1.公共体育设施周边应配有草坪、树木等自然景观。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2.公共体育设施应保持环境整洁。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3.适当配备婴幼儿活动设施。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bookmarkStart w:id="28" w:name="_Toc529261558"/>
      <w:r>
        <w:rPr>
          <w:rFonts w:hint="eastAsia" w:ascii="黑体" w:hAnsi="黑体" w:eastAsia="黑体" w:cs="黑体"/>
          <w:sz w:val="32"/>
          <w:szCs w:val="32"/>
        </w:rPr>
        <w:t>六、建设评分</w:t>
      </w:r>
      <w:bookmarkEnd w:id="28"/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bookmarkStart w:id="29" w:name="_Toc529261559"/>
      <w:r>
        <w:rPr>
          <w:rFonts w:hint="eastAsia" w:ascii="楷体_GB2312" w:hAnsi="楷体_GB2312" w:eastAsia="楷体_GB2312" w:cs="楷体_GB2312"/>
          <w:sz w:val="32"/>
          <w:szCs w:val="32"/>
        </w:rPr>
        <w:t>（一）评分要求</w:t>
      </w:r>
      <w:bookmarkEnd w:id="29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公共体育设施提升工程的建设检查包括实地查看、台账查阅和现场询问等。对于检查评分通过的提升工程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给予</w:t>
      </w:r>
      <w:bookmarkStart w:id="32" w:name="_GoBack"/>
      <w:bookmarkEnd w:id="32"/>
      <w:r>
        <w:rPr>
          <w:rFonts w:hint="eastAsia" w:ascii="仿宋_GB2312" w:hAnsi="仿宋_GB2312" w:eastAsia="仿宋_GB2312" w:cs="仿宋_GB2312"/>
          <w:sz w:val="32"/>
          <w:szCs w:val="32"/>
        </w:rPr>
        <w:t>建设资金补助。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bookmarkStart w:id="30" w:name="_Toc529261560"/>
      <w:r>
        <w:rPr>
          <w:rFonts w:hint="eastAsia" w:ascii="楷体_GB2312" w:hAnsi="楷体_GB2312" w:eastAsia="楷体_GB2312" w:cs="楷体_GB2312"/>
          <w:sz w:val="32"/>
          <w:szCs w:val="32"/>
        </w:rPr>
        <w:t>（二）评分表</w:t>
      </w:r>
      <w:bookmarkEnd w:id="3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1.建设评分应按表4执行。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表4  公共体育设施提升工程评分表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2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内容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评分标准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设施建设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设施建设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31" w:name="_Toc525075186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组织要求</w:t>
            </w:r>
            <w:bookmarkEnd w:id="31"/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工程所在的县（市、区）应建有全民健身工程领导小组。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应列入政府为民办实事工程或本年度政府重点工作内容。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应有领导分管，专人负责。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应有工程建设的实施计划、方案、台账资料、实景照片等。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管理要求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应制定体育场地设施管理规章制度。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应有专兼职管理人员和社会体育指导员，社会体育指导员应认真指导，严格履行职责。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健身器材应满足GB 17498.1和GB19272的要求，获得相关质量检测部门的认证。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宣传要求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告示牌应有体彩标志和“体育彩票捐赠”字样。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每件器材上应印有体彩标志和“体育彩票捐赠”字样。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应有固定宣传窗或户外大型广告牌。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活动要求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应因地制宜的开展健身活动，健身场地活动人数不少于本区域人数的41%。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52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组织开展科学健身宣传活动。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</w:tr>
    </w:tbl>
    <w:p>
      <w:pPr>
        <w:pStyle w:val="7"/>
        <w:numPr>
          <w:ilvl w:val="0"/>
          <w:numId w:val="2"/>
        </w:numPr>
        <w:spacing w:before="156" w:after="15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建设评分总分为100分，90分为合格。</w:t>
      </w: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>
      <w:pPr>
        <w:pStyle w:val="6"/>
        <w:numPr>
          <w:ilvl w:val="0"/>
          <w:numId w:val="0"/>
        </w:numPr>
        <w:autoSpaceDE w:val="0"/>
        <w:autoSpaceDN w:val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A3E886"/>
    <w:multiLevelType w:val="singleLevel"/>
    <w:tmpl w:val="DCA3E88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8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7"/>
      <w:suff w:val="nothing"/>
      <w:lvlText w:val="%1.%2.%3　"/>
      <w:lvlJc w:val="left"/>
      <w:pPr>
        <w:ind w:left="1277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42" w:hanging="142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731B8"/>
    <w:rsid w:val="7EF731B8"/>
    <w:rsid w:val="FE6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二级条标题"/>
    <w:basedOn w:val="8"/>
    <w:next w:val="6"/>
    <w:qFormat/>
    <w:uiPriority w:val="0"/>
    <w:pPr>
      <w:numPr>
        <w:ilvl w:val="2"/>
      </w:numPr>
      <w:spacing w:before="50" w:after="50"/>
      <w:ind w:left="0"/>
      <w:outlineLvl w:val="3"/>
    </w:pPr>
  </w:style>
  <w:style w:type="paragraph" w:customStyle="1" w:styleId="8">
    <w:name w:val="一级条标题"/>
    <w:next w:val="6"/>
    <w:qFormat/>
    <w:uiPriority w:val="0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2018-11-29T15:41:00Z</dcterms:created>
  <dc:creator>Administrator</dc:creator>
  <cp:lastModifiedBy>user</cp:lastModifiedBy>
  <dcterms:modified xsi:type="dcterms:W3CDTF">2021-11-10T11:15:40Z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